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08" w:rsidRPr="006F7CF1" w:rsidRDefault="00F20E08" w:rsidP="00F20E08">
      <w:pPr>
        <w:spacing w:line="240" w:lineRule="auto"/>
        <w:jc w:val="center"/>
        <w:rPr>
          <w:rFonts w:ascii="Garamond" w:hAnsi="Garamond"/>
          <w:sz w:val="32"/>
          <w:szCs w:val="32"/>
        </w:rPr>
      </w:pPr>
      <w:r w:rsidRPr="006F7CF1">
        <w:rPr>
          <w:rFonts w:ascii="Garamond" w:hAnsi="Garamond"/>
          <w:sz w:val="32"/>
          <w:szCs w:val="32"/>
        </w:rPr>
        <w:t>Peninsula College and Fort Worden</w:t>
      </w:r>
    </w:p>
    <w:p w:rsidR="00F20E08" w:rsidRPr="006F7CF1" w:rsidRDefault="00F20E08" w:rsidP="00F20E08">
      <w:pPr>
        <w:spacing w:line="240" w:lineRule="auto"/>
        <w:jc w:val="center"/>
        <w:rPr>
          <w:rFonts w:ascii="Garamond" w:hAnsi="Garamond"/>
          <w:sz w:val="24"/>
          <w:szCs w:val="24"/>
        </w:rPr>
      </w:pPr>
      <w:r w:rsidRPr="006F7CF1">
        <w:rPr>
          <w:rFonts w:ascii="Garamond" w:hAnsi="Garamond"/>
          <w:sz w:val="24"/>
          <w:szCs w:val="24"/>
        </w:rPr>
        <w:t>Present</w:t>
      </w:r>
    </w:p>
    <w:p w:rsidR="009B6E14" w:rsidRDefault="009B6E14" w:rsidP="00F20E08">
      <w:pPr>
        <w:spacing w:line="240" w:lineRule="auto"/>
        <w:jc w:val="center"/>
        <w:rPr>
          <w:rFonts w:ascii="Garamond" w:hAnsi="Garamond"/>
          <w:b/>
          <w:sz w:val="32"/>
          <w:szCs w:val="32"/>
        </w:rPr>
      </w:pPr>
      <w:r>
        <w:rPr>
          <w:rFonts w:ascii="Garamond" w:hAnsi="Garamond"/>
          <w:b/>
          <w:sz w:val="32"/>
          <w:szCs w:val="32"/>
        </w:rPr>
        <w:t>The Germans: Hegel</w:t>
      </w:r>
    </w:p>
    <w:p w:rsidR="00F20E08" w:rsidRPr="006F7CF1" w:rsidRDefault="00F20E08" w:rsidP="00F20E08">
      <w:pPr>
        <w:spacing w:line="240" w:lineRule="auto"/>
        <w:jc w:val="center"/>
        <w:rPr>
          <w:rFonts w:ascii="Garamond" w:hAnsi="Garamond"/>
          <w:sz w:val="32"/>
          <w:szCs w:val="32"/>
        </w:rPr>
      </w:pPr>
      <w:r w:rsidRPr="006F7CF1">
        <w:rPr>
          <w:rFonts w:ascii="Garamond" w:hAnsi="Garamond"/>
          <w:i/>
          <w:sz w:val="28"/>
          <w:szCs w:val="28"/>
        </w:rPr>
        <w:t>Wesley Cecil PhD</w:t>
      </w:r>
      <w:r w:rsidRPr="006F7CF1">
        <w:rPr>
          <w:rFonts w:ascii="Garamond" w:hAnsi="Garamond"/>
          <w:sz w:val="32"/>
          <w:szCs w:val="32"/>
        </w:rPr>
        <w:t>.</w:t>
      </w:r>
    </w:p>
    <w:p w:rsidR="00CD0C55" w:rsidRDefault="009B6E14" w:rsidP="00F20E0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263.25pt">
            <v:imagedata r:id="rId4" o:title="methode_times_prod_web_bin_63c428d6-ad46-11e8-8404-0bee60a6f70d"/>
          </v:shape>
        </w:pict>
      </w:r>
    </w:p>
    <w:p w:rsidR="00F20E08" w:rsidRDefault="00F20E08" w:rsidP="00F20E08">
      <w:pPr>
        <w:jc w:val="center"/>
      </w:pPr>
    </w:p>
    <w:p w:rsidR="009B6E14" w:rsidRPr="00A17699" w:rsidRDefault="009B6E14" w:rsidP="009B6E14">
      <w:pPr>
        <w:rPr>
          <w:rFonts w:ascii="Garamond" w:hAnsi="Garamond"/>
          <w:sz w:val="28"/>
          <w:szCs w:val="28"/>
        </w:rPr>
      </w:pPr>
      <w:r w:rsidRPr="00A17699">
        <w:rPr>
          <w:rFonts w:ascii="Garamond" w:hAnsi="Garamond"/>
          <w:sz w:val="28"/>
          <w:szCs w:val="28"/>
        </w:rPr>
        <w:t>Born 1770 Stuttgart</w:t>
      </w:r>
    </w:p>
    <w:p w:rsidR="009B6E14" w:rsidRPr="00A17699" w:rsidRDefault="009B6E14" w:rsidP="009B6E14">
      <w:pPr>
        <w:rPr>
          <w:rFonts w:ascii="Garamond" w:hAnsi="Garamond"/>
          <w:sz w:val="28"/>
          <w:szCs w:val="28"/>
        </w:rPr>
      </w:pPr>
      <w:r w:rsidRPr="00A17699">
        <w:rPr>
          <w:rFonts w:ascii="Garamond" w:hAnsi="Garamond"/>
          <w:sz w:val="28"/>
          <w:szCs w:val="28"/>
        </w:rPr>
        <w:t>1788 – Tubingen</w:t>
      </w:r>
      <w:r w:rsidR="00A17699">
        <w:rPr>
          <w:rFonts w:ascii="Garamond" w:hAnsi="Garamond"/>
          <w:sz w:val="28"/>
          <w:szCs w:val="28"/>
        </w:rPr>
        <w:t xml:space="preserve"> Seminary</w:t>
      </w:r>
    </w:p>
    <w:p w:rsidR="009B6E14" w:rsidRPr="00A17699" w:rsidRDefault="009B6E14" w:rsidP="009B6E14">
      <w:pPr>
        <w:rPr>
          <w:rFonts w:ascii="Garamond" w:hAnsi="Garamond"/>
          <w:sz w:val="28"/>
          <w:szCs w:val="28"/>
        </w:rPr>
      </w:pPr>
      <w:r w:rsidRPr="00A17699">
        <w:rPr>
          <w:rFonts w:ascii="Garamond" w:hAnsi="Garamond"/>
          <w:sz w:val="28"/>
          <w:szCs w:val="28"/>
        </w:rPr>
        <w:t>1789 French Revolution</w:t>
      </w:r>
    </w:p>
    <w:p w:rsidR="009B6E14" w:rsidRPr="00A17699" w:rsidRDefault="009B6E14" w:rsidP="009B6E14">
      <w:pPr>
        <w:rPr>
          <w:rFonts w:ascii="Garamond" w:hAnsi="Garamond"/>
          <w:sz w:val="28"/>
          <w:szCs w:val="28"/>
        </w:rPr>
      </w:pPr>
      <w:r w:rsidRPr="00A17699">
        <w:rPr>
          <w:rFonts w:ascii="Garamond" w:hAnsi="Garamond"/>
          <w:sz w:val="28"/>
          <w:szCs w:val="28"/>
        </w:rPr>
        <w:t>1793 Bern</w:t>
      </w:r>
      <w:r w:rsidR="00396D46" w:rsidRPr="00A17699">
        <w:rPr>
          <w:rFonts w:ascii="Garamond" w:hAnsi="Garamond"/>
          <w:sz w:val="28"/>
          <w:szCs w:val="28"/>
        </w:rPr>
        <w:t xml:space="preserve"> Tutor for an Aristocratic family.</w:t>
      </w:r>
    </w:p>
    <w:p w:rsidR="009B6E14" w:rsidRPr="00A17699" w:rsidRDefault="009B6E14" w:rsidP="009B6E14">
      <w:pPr>
        <w:rPr>
          <w:rFonts w:ascii="Garamond" w:hAnsi="Garamond"/>
          <w:sz w:val="28"/>
          <w:szCs w:val="28"/>
        </w:rPr>
      </w:pPr>
      <w:r w:rsidRPr="00A17699">
        <w:rPr>
          <w:rFonts w:ascii="Garamond" w:hAnsi="Garamond"/>
          <w:sz w:val="28"/>
          <w:szCs w:val="28"/>
        </w:rPr>
        <w:t>1801-1816 Jena, Bamberg, Nuremberg</w:t>
      </w:r>
      <w:r w:rsidR="00396D46" w:rsidRPr="00A17699">
        <w:rPr>
          <w:rFonts w:ascii="Garamond" w:hAnsi="Garamond"/>
          <w:sz w:val="28"/>
          <w:szCs w:val="28"/>
        </w:rPr>
        <w:t xml:space="preserve"> </w:t>
      </w:r>
      <w:bookmarkStart w:id="0" w:name="_GoBack"/>
      <w:bookmarkEnd w:id="0"/>
    </w:p>
    <w:p w:rsidR="009B6E14" w:rsidRPr="00A17699" w:rsidRDefault="009B6E14" w:rsidP="009B6E14">
      <w:pPr>
        <w:rPr>
          <w:rFonts w:ascii="Garamond" w:hAnsi="Garamond"/>
          <w:sz w:val="28"/>
          <w:szCs w:val="28"/>
        </w:rPr>
      </w:pPr>
      <w:r w:rsidRPr="00A17699">
        <w:rPr>
          <w:rFonts w:ascii="Garamond" w:hAnsi="Garamond"/>
          <w:sz w:val="28"/>
          <w:szCs w:val="28"/>
        </w:rPr>
        <w:t xml:space="preserve">1804 Napoleon </w:t>
      </w:r>
      <w:r w:rsidR="00396D46" w:rsidRPr="00A17699">
        <w:rPr>
          <w:rFonts w:ascii="Garamond" w:hAnsi="Garamond"/>
          <w:sz w:val="28"/>
          <w:szCs w:val="28"/>
        </w:rPr>
        <w:t>declares himself Emperor</w:t>
      </w:r>
    </w:p>
    <w:p w:rsidR="00396D46" w:rsidRPr="00A17699" w:rsidRDefault="00396D46" w:rsidP="009B6E14">
      <w:pPr>
        <w:rPr>
          <w:rFonts w:ascii="Garamond" w:hAnsi="Garamond"/>
          <w:sz w:val="28"/>
          <w:szCs w:val="28"/>
        </w:rPr>
      </w:pPr>
      <w:r w:rsidRPr="00A17699">
        <w:rPr>
          <w:rFonts w:ascii="Garamond" w:hAnsi="Garamond"/>
          <w:sz w:val="28"/>
          <w:szCs w:val="28"/>
        </w:rPr>
        <w:t>1814 Congress of Vienna</w:t>
      </w:r>
    </w:p>
    <w:p w:rsidR="009B6E14" w:rsidRPr="00A17699" w:rsidRDefault="009B6E14" w:rsidP="009B6E14">
      <w:pPr>
        <w:rPr>
          <w:rFonts w:ascii="Garamond" w:hAnsi="Garamond"/>
          <w:sz w:val="28"/>
          <w:szCs w:val="28"/>
        </w:rPr>
      </w:pPr>
      <w:r w:rsidRPr="00A17699">
        <w:rPr>
          <w:rFonts w:ascii="Garamond" w:hAnsi="Garamond"/>
          <w:sz w:val="28"/>
          <w:szCs w:val="28"/>
        </w:rPr>
        <w:t>1818</w:t>
      </w:r>
      <w:r w:rsidR="00396D46" w:rsidRPr="00A17699">
        <w:rPr>
          <w:rFonts w:ascii="Garamond" w:hAnsi="Garamond"/>
          <w:sz w:val="28"/>
          <w:szCs w:val="28"/>
        </w:rPr>
        <w:t xml:space="preserve"> University </w:t>
      </w:r>
      <w:proofErr w:type="gramStart"/>
      <w:r w:rsidR="00396D46" w:rsidRPr="00A17699">
        <w:rPr>
          <w:rFonts w:ascii="Garamond" w:hAnsi="Garamond"/>
          <w:sz w:val="28"/>
          <w:szCs w:val="28"/>
        </w:rPr>
        <w:t xml:space="preserve">of </w:t>
      </w:r>
      <w:r w:rsidRPr="00A17699">
        <w:rPr>
          <w:rFonts w:ascii="Garamond" w:hAnsi="Garamond"/>
          <w:sz w:val="28"/>
          <w:szCs w:val="28"/>
        </w:rPr>
        <w:t xml:space="preserve"> Berlin</w:t>
      </w:r>
      <w:proofErr w:type="gramEnd"/>
      <w:r w:rsidRPr="00A17699">
        <w:rPr>
          <w:rFonts w:ascii="Garamond" w:hAnsi="Garamond"/>
          <w:sz w:val="28"/>
          <w:szCs w:val="28"/>
        </w:rPr>
        <w:t xml:space="preserve"> </w:t>
      </w:r>
      <w:r w:rsidR="00396D46" w:rsidRPr="00A17699">
        <w:rPr>
          <w:rFonts w:ascii="Garamond" w:hAnsi="Garamond"/>
          <w:sz w:val="28"/>
          <w:szCs w:val="28"/>
        </w:rPr>
        <w:t>(Prussian Power Center)</w:t>
      </w:r>
    </w:p>
    <w:p w:rsidR="001B0BF5" w:rsidRPr="00A17699" w:rsidRDefault="001B0BF5" w:rsidP="009B6E14">
      <w:pPr>
        <w:rPr>
          <w:rFonts w:ascii="Garamond" w:hAnsi="Garamond"/>
          <w:sz w:val="28"/>
          <w:szCs w:val="28"/>
        </w:rPr>
      </w:pPr>
    </w:p>
    <w:p w:rsidR="008E6E33" w:rsidRPr="00A17699" w:rsidRDefault="008E6E33" w:rsidP="009B6E14">
      <w:pPr>
        <w:rPr>
          <w:rFonts w:ascii="Garamond" w:hAnsi="Garamond"/>
          <w:i/>
          <w:sz w:val="28"/>
          <w:szCs w:val="28"/>
        </w:rPr>
      </w:pPr>
      <w:r w:rsidRPr="00A17699">
        <w:rPr>
          <w:rFonts w:ascii="Garamond" w:hAnsi="Garamond"/>
          <w:color w:val="000000"/>
          <w:sz w:val="28"/>
          <w:szCs w:val="28"/>
          <w:shd w:val="clear" w:color="auto" w:fill="FFFFFF"/>
        </w:rPr>
        <w:lastRenderedPageBreak/>
        <w:t xml:space="preserve">With self-consciousness, then, we have now passed into the native land of truth, into that kingdom where it is at home. We have to see how the form or attitude of self-consciousness in the first instance appears. When we consider this new form and type of knowledge, the knowledge of self, in its relation to that which preceded, namely, the knowledge of </w:t>
      </w:r>
      <w:proofErr w:type="spellStart"/>
      <w:r w:rsidRPr="00A17699">
        <w:rPr>
          <w:rFonts w:ascii="Garamond" w:hAnsi="Garamond"/>
          <w:color w:val="000000"/>
          <w:sz w:val="28"/>
          <w:szCs w:val="28"/>
          <w:shd w:val="clear" w:color="auto" w:fill="FFFFFF"/>
        </w:rPr>
        <w:t>an other</w:t>
      </w:r>
      <w:proofErr w:type="spellEnd"/>
      <w:r w:rsidRPr="00A17699">
        <w:rPr>
          <w:rFonts w:ascii="Garamond" w:hAnsi="Garamond"/>
          <w:color w:val="000000"/>
          <w:sz w:val="28"/>
          <w:szCs w:val="28"/>
          <w:shd w:val="clear" w:color="auto" w:fill="FFFFFF"/>
        </w:rPr>
        <w:t>, we find, indeed, that this latter has vanished, but that its moments have, at the same time, been preserved; and the loss consists in this, that those moments are here present as they are implicitly, as they are in themselves. The being which “meaning” dealt with, particularity and the universality of perception opposed to it, as also the empty, inner region of understanding – these are no longer present as substantial elements (</w:t>
      </w:r>
      <w:proofErr w:type="spellStart"/>
      <w:r w:rsidRPr="00A17699">
        <w:rPr>
          <w:rStyle w:val="Emphasis"/>
          <w:rFonts w:ascii="Garamond" w:hAnsi="Garamond"/>
          <w:color w:val="000000"/>
          <w:sz w:val="28"/>
          <w:szCs w:val="28"/>
          <w:shd w:val="clear" w:color="auto" w:fill="FFFFFF"/>
        </w:rPr>
        <w:t>Wesen</w:t>
      </w:r>
      <w:proofErr w:type="spellEnd"/>
      <w:r w:rsidRPr="00A17699">
        <w:rPr>
          <w:rFonts w:ascii="Garamond" w:hAnsi="Garamond"/>
          <w:color w:val="000000"/>
          <w:sz w:val="28"/>
          <w:szCs w:val="28"/>
          <w:shd w:val="clear" w:color="auto" w:fill="FFFFFF"/>
        </w:rPr>
        <w:t>), but as moments of self-consciousness, i.e. as abstractions or differences, which are, at the same time, of no account for consciousness itself, or are not differences at all, and are purely vanishing entities (</w:t>
      </w:r>
      <w:proofErr w:type="spellStart"/>
      <w:r w:rsidRPr="00A17699">
        <w:rPr>
          <w:rStyle w:val="Emphasis"/>
          <w:rFonts w:ascii="Garamond" w:hAnsi="Garamond"/>
          <w:color w:val="000000"/>
          <w:sz w:val="28"/>
          <w:szCs w:val="28"/>
          <w:shd w:val="clear" w:color="auto" w:fill="FFFFFF"/>
        </w:rPr>
        <w:t>Wesen</w:t>
      </w:r>
      <w:proofErr w:type="spellEnd"/>
      <w:r w:rsidRPr="00A17699">
        <w:rPr>
          <w:rFonts w:ascii="Garamond" w:hAnsi="Garamond"/>
          <w:color w:val="000000"/>
          <w:sz w:val="28"/>
          <w:szCs w:val="28"/>
          <w:shd w:val="clear" w:color="auto" w:fill="FFFFFF"/>
        </w:rPr>
        <w:t>).</w:t>
      </w:r>
      <w:r w:rsidRPr="00A17699">
        <w:rPr>
          <w:rFonts w:ascii="Garamond" w:hAnsi="Garamond"/>
          <w:color w:val="000000"/>
          <w:sz w:val="28"/>
          <w:szCs w:val="28"/>
          <w:shd w:val="clear" w:color="auto" w:fill="FFFFFF"/>
        </w:rPr>
        <w:t xml:space="preserve"> </w:t>
      </w:r>
      <w:r w:rsidRPr="00A17699">
        <w:rPr>
          <w:rFonts w:ascii="Garamond" w:hAnsi="Garamond"/>
          <w:i/>
          <w:color w:val="000000"/>
          <w:sz w:val="28"/>
          <w:szCs w:val="28"/>
          <w:shd w:val="clear" w:color="auto" w:fill="FFFFFF"/>
        </w:rPr>
        <w:t>Phenomenology of Mind</w:t>
      </w:r>
    </w:p>
    <w:p w:rsidR="001B0BF5" w:rsidRPr="00A17699" w:rsidRDefault="001B0BF5" w:rsidP="009B6E14">
      <w:pPr>
        <w:rPr>
          <w:rFonts w:ascii="Garamond" w:hAnsi="Garamond" w:cs="Arial"/>
          <w:i/>
          <w:color w:val="222222"/>
          <w:sz w:val="28"/>
          <w:szCs w:val="28"/>
          <w:shd w:val="clear" w:color="auto" w:fill="FFFFFF"/>
        </w:rPr>
      </w:pPr>
      <w:hyperlink r:id="rId5" w:tooltip="History" w:history="1">
        <w:r w:rsidRPr="00A17699">
          <w:rPr>
            <w:rStyle w:val="Hyperlink"/>
            <w:rFonts w:ascii="Garamond" w:hAnsi="Garamond" w:cs="Arial"/>
            <w:color w:val="0B0080"/>
            <w:sz w:val="28"/>
            <w:szCs w:val="28"/>
            <w:shd w:val="clear" w:color="auto" w:fill="FFFFFF"/>
          </w:rPr>
          <w:t>History</w:t>
        </w:r>
      </w:hyperlink>
      <w:r w:rsidRPr="00A17699">
        <w:rPr>
          <w:rFonts w:ascii="Garamond" w:hAnsi="Garamond" w:cs="Arial"/>
          <w:color w:val="222222"/>
          <w:sz w:val="28"/>
          <w:szCs w:val="28"/>
          <w:shd w:val="clear" w:color="auto" w:fill="FFFFFF"/>
        </w:rPr>
        <w:t>, is a conscious, self-meditating process — </w:t>
      </w:r>
      <w:hyperlink r:id="rId6" w:tooltip="Spirit" w:history="1">
        <w:r w:rsidRPr="00A17699">
          <w:rPr>
            <w:rStyle w:val="Hyperlink"/>
            <w:rFonts w:ascii="Garamond" w:hAnsi="Garamond" w:cs="Arial"/>
            <w:color w:val="0B0080"/>
            <w:sz w:val="28"/>
            <w:szCs w:val="28"/>
            <w:shd w:val="clear" w:color="auto" w:fill="FFFFFF"/>
          </w:rPr>
          <w:t>Spirit</w:t>
        </w:r>
      </w:hyperlink>
      <w:r w:rsidRPr="00A17699">
        <w:rPr>
          <w:rFonts w:ascii="Garamond" w:hAnsi="Garamond" w:cs="Arial"/>
          <w:color w:val="222222"/>
          <w:sz w:val="28"/>
          <w:szCs w:val="28"/>
          <w:shd w:val="clear" w:color="auto" w:fill="FFFFFF"/>
        </w:rPr>
        <w:t> emptied out into </w:t>
      </w:r>
      <w:hyperlink r:id="rId7" w:tooltip="Time" w:history="1">
        <w:r w:rsidRPr="00A17699">
          <w:rPr>
            <w:rStyle w:val="Hyperlink"/>
            <w:rFonts w:ascii="Garamond" w:hAnsi="Garamond" w:cs="Arial"/>
            <w:color w:val="0B0080"/>
            <w:sz w:val="28"/>
            <w:szCs w:val="28"/>
            <w:shd w:val="clear" w:color="auto" w:fill="FFFFFF"/>
          </w:rPr>
          <w:t>Time</w:t>
        </w:r>
      </w:hyperlink>
      <w:r w:rsidRPr="00A17699">
        <w:rPr>
          <w:rFonts w:ascii="Garamond" w:hAnsi="Garamond" w:cs="Arial"/>
          <w:color w:val="222222"/>
          <w:sz w:val="28"/>
          <w:szCs w:val="28"/>
          <w:shd w:val="clear" w:color="auto" w:fill="FFFFFF"/>
        </w:rPr>
        <w:t>; but this externalization, this </w:t>
      </w:r>
      <w:hyperlink r:id="rId8" w:tooltip="Kenosis" w:history="1">
        <w:r w:rsidRPr="00A17699">
          <w:rPr>
            <w:rStyle w:val="Hyperlink"/>
            <w:rFonts w:ascii="Garamond" w:hAnsi="Garamond" w:cs="Arial"/>
            <w:color w:val="0B0080"/>
            <w:sz w:val="28"/>
            <w:szCs w:val="28"/>
            <w:shd w:val="clear" w:color="auto" w:fill="FFFFFF"/>
          </w:rPr>
          <w:t>kenosis</w:t>
        </w:r>
      </w:hyperlink>
      <w:r w:rsidRPr="00A17699">
        <w:rPr>
          <w:rFonts w:ascii="Garamond" w:hAnsi="Garamond" w:cs="Arial"/>
          <w:color w:val="222222"/>
          <w:sz w:val="28"/>
          <w:szCs w:val="28"/>
          <w:shd w:val="clear" w:color="auto" w:fill="FFFFFF"/>
        </w:rPr>
        <w:t xml:space="preserve">, is equally an externalization of itself; the negative is the negative of itself. ... Thus absorbed in itself, it is sunk in the night of its self-consciousness; but in that night its vanished outer existence is </w:t>
      </w:r>
      <w:proofErr w:type="spellStart"/>
      <w:r w:rsidRPr="00A17699">
        <w:rPr>
          <w:rFonts w:ascii="Garamond" w:hAnsi="Garamond" w:cs="Arial"/>
          <w:color w:val="222222"/>
          <w:sz w:val="28"/>
          <w:szCs w:val="28"/>
          <w:shd w:val="clear" w:color="auto" w:fill="FFFFFF"/>
        </w:rPr>
        <w:t>perserved</w:t>
      </w:r>
      <w:proofErr w:type="spellEnd"/>
      <w:r w:rsidRPr="00A17699">
        <w:rPr>
          <w:rFonts w:ascii="Garamond" w:hAnsi="Garamond" w:cs="Arial"/>
          <w:color w:val="222222"/>
          <w:sz w:val="28"/>
          <w:szCs w:val="28"/>
          <w:shd w:val="clear" w:color="auto" w:fill="FFFFFF"/>
        </w:rPr>
        <w:t>, and this transformed existence — the former one, but now reborn of the Spirit's knowledge — is the new existence, a new </w:t>
      </w:r>
      <w:hyperlink r:id="rId9" w:tooltip="World" w:history="1">
        <w:r w:rsidRPr="00A17699">
          <w:rPr>
            <w:rStyle w:val="Hyperlink"/>
            <w:rFonts w:ascii="Garamond" w:hAnsi="Garamond" w:cs="Arial"/>
            <w:color w:val="0B0080"/>
            <w:sz w:val="28"/>
            <w:szCs w:val="28"/>
            <w:shd w:val="clear" w:color="auto" w:fill="FFFFFF"/>
          </w:rPr>
          <w:t>world</w:t>
        </w:r>
      </w:hyperlink>
      <w:r w:rsidRPr="00A17699">
        <w:rPr>
          <w:rFonts w:ascii="Garamond" w:hAnsi="Garamond" w:cs="Arial"/>
          <w:color w:val="222222"/>
          <w:sz w:val="28"/>
          <w:szCs w:val="28"/>
          <w:shd w:val="clear" w:color="auto" w:fill="FFFFFF"/>
        </w:rPr>
        <w:t> and a new shape of Spirit.</w:t>
      </w:r>
      <w:r w:rsidRPr="00A17699">
        <w:rPr>
          <w:rFonts w:ascii="Garamond" w:hAnsi="Garamond" w:cs="Arial"/>
          <w:i/>
          <w:color w:val="222222"/>
          <w:sz w:val="28"/>
          <w:szCs w:val="28"/>
          <w:shd w:val="clear" w:color="auto" w:fill="FFFFFF"/>
        </w:rPr>
        <w:t xml:space="preserve"> Phenomenology of Spirit</w:t>
      </w:r>
    </w:p>
    <w:p w:rsidR="001B0BF5" w:rsidRPr="00A17699" w:rsidRDefault="001B0BF5" w:rsidP="009B6E14">
      <w:pPr>
        <w:rPr>
          <w:rFonts w:ascii="Garamond" w:hAnsi="Garamond" w:cs="Arial"/>
          <w:color w:val="222222"/>
          <w:sz w:val="28"/>
          <w:szCs w:val="28"/>
          <w:shd w:val="clear" w:color="auto" w:fill="FFFFFF"/>
        </w:rPr>
      </w:pPr>
      <w:r w:rsidRPr="00A17699">
        <w:rPr>
          <w:rFonts w:ascii="Garamond" w:hAnsi="Garamond" w:cs="Arial"/>
          <w:color w:val="222222"/>
          <w:sz w:val="28"/>
          <w:szCs w:val="28"/>
          <w:shd w:val="clear" w:color="auto" w:fill="FFFFFF"/>
        </w:rPr>
        <w:t xml:space="preserve">The history of philosophy begins where thought in its freedom come into existence, where it cuts itself loose from its immersion in and unity with nature, constitutes itself for itself, </w:t>
      </w:r>
      <w:proofErr w:type="spellStart"/>
      <w:r w:rsidRPr="00A17699">
        <w:rPr>
          <w:rFonts w:ascii="Garamond" w:hAnsi="Garamond" w:cs="Arial"/>
          <w:color w:val="222222"/>
          <w:sz w:val="28"/>
          <w:szCs w:val="28"/>
          <w:shd w:val="clear" w:color="auto" w:fill="FFFFFF"/>
        </w:rPr>
        <w:t>wehre</w:t>
      </w:r>
      <w:proofErr w:type="spellEnd"/>
      <w:r w:rsidRPr="00A17699">
        <w:rPr>
          <w:rFonts w:ascii="Garamond" w:hAnsi="Garamond" w:cs="Arial"/>
          <w:color w:val="222222"/>
          <w:sz w:val="28"/>
          <w:szCs w:val="28"/>
          <w:shd w:val="clear" w:color="auto" w:fill="FFFFFF"/>
        </w:rPr>
        <w:t xml:space="preserve"> thinking goes into itself and remains itself. From the historical point of view this emergence of spirit is intimately connected with the flowering of political liberty; and political liberty, liberty within the state, begins where the individual fells himself to be an individual (</w:t>
      </w:r>
      <w:r w:rsidRPr="00A17699">
        <w:rPr>
          <w:rFonts w:ascii="Garamond" w:hAnsi="Garamond" w:cs="Arial"/>
          <w:i/>
          <w:color w:val="222222"/>
          <w:sz w:val="28"/>
          <w:szCs w:val="28"/>
          <w:shd w:val="clear" w:color="auto" w:fill="FFFFFF"/>
        </w:rPr>
        <w:t>Introduction to the History of Philosophy)</w:t>
      </w:r>
      <w:r w:rsidRPr="00A17699">
        <w:rPr>
          <w:rFonts w:ascii="Garamond" w:hAnsi="Garamond" w:cs="Arial"/>
          <w:color w:val="222222"/>
          <w:sz w:val="28"/>
          <w:szCs w:val="28"/>
          <w:shd w:val="clear" w:color="auto" w:fill="FFFFFF"/>
        </w:rPr>
        <w:t>.</w:t>
      </w:r>
    </w:p>
    <w:p w:rsidR="001B0BF5" w:rsidRPr="00A17699" w:rsidRDefault="008E6E33" w:rsidP="009B6E14">
      <w:pPr>
        <w:rPr>
          <w:rFonts w:ascii="Garamond" w:hAnsi="Garamond" w:cs="Arial"/>
          <w:color w:val="222222"/>
          <w:sz w:val="28"/>
          <w:szCs w:val="28"/>
          <w:shd w:val="clear" w:color="auto" w:fill="FFFFFF"/>
        </w:rPr>
      </w:pPr>
      <w:r w:rsidRPr="00A17699">
        <w:rPr>
          <w:rFonts w:ascii="Garamond" w:hAnsi="Garamond" w:cs="Arial"/>
          <w:color w:val="222222"/>
          <w:sz w:val="28"/>
          <w:szCs w:val="28"/>
          <w:shd w:val="clear" w:color="auto" w:fill="FFFFFF"/>
        </w:rPr>
        <w:t>In this way the Idea is elevated to Spirit</w:t>
      </w:r>
      <w:proofErr w:type="gramStart"/>
      <w:r w:rsidRPr="00A17699">
        <w:rPr>
          <w:rFonts w:ascii="Garamond" w:hAnsi="Garamond" w:cs="Arial"/>
          <w:color w:val="222222"/>
          <w:sz w:val="28"/>
          <w:szCs w:val="28"/>
          <w:shd w:val="clear" w:color="auto" w:fill="FFFFFF"/>
        </w:rPr>
        <w:t>. . . .</w:t>
      </w:r>
      <w:proofErr w:type="gramEnd"/>
      <w:r w:rsidRPr="00A17699">
        <w:rPr>
          <w:rFonts w:ascii="Garamond" w:hAnsi="Garamond" w:cs="Arial"/>
          <w:color w:val="222222"/>
          <w:sz w:val="28"/>
          <w:szCs w:val="28"/>
          <w:shd w:val="clear" w:color="auto" w:fill="FFFFFF"/>
        </w:rPr>
        <w:t xml:space="preserve"> The principle of absolute being-for-itself or of </w:t>
      </w:r>
      <w:proofErr w:type="gramStart"/>
      <w:r w:rsidRPr="00A17699">
        <w:rPr>
          <w:rFonts w:ascii="Garamond" w:hAnsi="Garamond" w:cs="Arial"/>
          <w:color w:val="222222"/>
          <w:sz w:val="28"/>
          <w:szCs w:val="28"/>
          <w:shd w:val="clear" w:color="auto" w:fill="FFFFFF"/>
        </w:rPr>
        <w:t>freedom  . . .</w:t>
      </w:r>
      <w:proofErr w:type="gramEnd"/>
      <w:r w:rsidRPr="00A17699">
        <w:rPr>
          <w:rFonts w:ascii="Garamond" w:hAnsi="Garamond" w:cs="Arial"/>
          <w:color w:val="222222"/>
          <w:sz w:val="28"/>
          <w:szCs w:val="28"/>
          <w:shd w:val="clear" w:color="auto" w:fill="FFFFFF"/>
        </w:rPr>
        <w:t xml:space="preserve"> wherein the determination is precisely this, that as such man has an infinite worth. (</w:t>
      </w:r>
      <w:r w:rsidRPr="00A17699">
        <w:rPr>
          <w:rFonts w:ascii="Garamond" w:hAnsi="Garamond" w:cs="Arial"/>
          <w:i/>
          <w:color w:val="222222"/>
          <w:sz w:val="28"/>
          <w:szCs w:val="28"/>
          <w:shd w:val="clear" w:color="auto" w:fill="FFFFFF"/>
        </w:rPr>
        <w:t>Introduction to the History of Philosophy)</w:t>
      </w:r>
      <w:r w:rsidRPr="00A17699">
        <w:rPr>
          <w:rFonts w:ascii="Garamond" w:hAnsi="Garamond" w:cs="Arial"/>
          <w:color w:val="222222"/>
          <w:sz w:val="28"/>
          <w:szCs w:val="28"/>
          <w:shd w:val="clear" w:color="auto" w:fill="FFFFFF"/>
        </w:rPr>
        <w:t>.</w:t>
      </w:r>
    </w:p>
    <w:p w:rsidR="008E6E33" w:rsidRDefault="008E6E33" w:rsidP="009B6E14">
      <w:pPr>
        <w:rPr>
          <w:rFonts w:ascii="Arial" w:hAnsi="Arial" w:cs="Arial"/>
          <w:color w:val="222222"/>
          <w:sz w:val="21"/>
          <w:szCs w:val="21"/>
          <w:shd w:val="clear" w:color="auto" w:fill="FFFFFF"/>
        </w:rPr>
      </w:pPr>
    </w:p>
    <w:p w:rsidR="008E6E33" w:rsidRDefault="008E6E33" w:rsidP="009B6E14"/>
    <w:p w:rsidR="00A17699" w:rsidRDefault="00A17699" w:rsidP="009B6E14"/>
    <w:p w:rsidR="00A17699" w:rsidRPr="00A17699" w:rsidRDefault="00A17699" w:rsidP="009B6E14">
      <w:pPr>
        <w:rPr>
          <w:rFonts w:ascii="Garamond" w:hAnsi="Garamond"/>
          <w:sz w:val="28"/>
          <w:szCs w:val="28"/>
        </w:rPr>
      </w:pPr>
      <w:r w:rsidRPr="00A17699">
        <w:rPr>
          <w:rFonts w:ascii="Garamond" w:hAnsi="Garamond"/>
          <w:sz w:val="28"/>
          <w:szCs w:val="28"/>
        </w:rPr>
        <w:t>Next Lecture November 21</w:t>
      </w:r>
      <w:r w:rsidRPr="00A17699">
        <w:rPr>
          <w:rFonts w:ascii="Garamond" w:hAnsi="Garamond"/>
          <w:sz w:val="28"/>
          <w:szCs w:val="28"/>
          <w:vertAlign w:val="superscript"/>
        </w:rPr>
        <w:t>st</w:t>
      </w:r>
      <w:r w:rsidRPr="00A17699">
        <w:rPr>
          <w:rFonts w:ascii="Garamond" w:hAnsi="Garamond"/>
          <w:sz w:val="28"/>
          <w:szCs w:val="28"/>
        </w:rPr>
        <w:t xml:space="preserve"> Schopenhauer</w:t>
      </w:r>
    </w:p>
    <w:p w:rsidR="000A0723" w:rsidRPr="00A17699" w:rsidRDefault="000A0723" w:rsidP="000A0723">
      <w:pPr>
        <w:rPr>
          <w:rFonts w:ascii="Garamond" w:hAnsi="Garamond"/>
          <w:i/>
          <w:sz w:val="28"/>
          <w:szCs w:val="28"/>
        </w:rPr>
      </w:pPr>
    </w:p>
    <w:p w:rsidR="000A0723" w:rsidRPr="000A0723" w:rsidRDefault="00DB3D6A" w:rsidP="000A0723">
      <w:pPr>
        <w:rPr>
          <w:rFonts w:ascii="Garamond" w:hAnsi="Garamond"/>
          <w:sz w:val="28"/>
          <w:szCs w:val="28"/>
        </w:rPr>
      </w:pPr>
      <w:r>
        <w:rPr>
          <w:rFonts w:ascii="Garamond" w:hAnsi="Garamond"/>
          <w:sz w:val="28"/>
          <w:szCs w:val="28"/>
        </w:rPr>
        <w:t xml:space="preserve">Lectures Available on </w:t>
      </w:r>
      <w:proofErr w:type="spellStart"/>
      <w:r w:rsidRPr="00DB3D6A">
        <w:rPr>
          <w:rFonts w:ascii="Garamond" w:hAnsi="Garamond"/>
          <w:b/>
          <w:sz w:val="28"/>
          <w:szCs w:val="28"/>
        </w:rPr>
        <w:t>Youtube</w:t>
      </w:r>
      <w:proofErr w:type="spellEnd"/>
      <w:r>
        <w:rPr>
          <w:rFonts w:ascii="Garamond" w:hAnsi="Garamond"/>
          <w:sz w:val="28"/>
          <w:szCs w:val="28"/>
        </w:rPr>
        <w:t xml:space="preserve"> or at </w:t>
      </w:r>
      <w:r w:rsidRPr="00DB3D6A">
        <w:rPr>
          <w:rFonts w:ascii="Garamond" w:hAnsi="Garamond"/>
          <w:b/>
          <w:sz w:val="28"/>
          <w:szCs w:val="28"/>
        </w:rPr>
        <w:t>www.Wescecil.com</w:t>
      </w:r>
    </w:p>
    <w:p w:rsidR="000A0723" w:rsidRPr="006F7CF1" w:rsidRDefault="000A0723" w:rsidP="00F20E08">
      <w:pPr>
        <w:rPr>
          <w:rFonts w:ascii="Garamond" w:hAnsi="Garamond"/>
          <w:sz w:val="28"/>
          <w:szCs w:val="28"/>
        </w:rPr>
      </w:pPr>
    </w:p>
    <w:sectPr w:rsidR="000A0723" w:rsidRPr="006F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08"/>
    <w:rsid w:val="000A0723"/>
    <w:rsid w:val="001B0BF5"/>
    <w:rsid w:val="00396D46"/>
    <w:rsid w:val="006F7CF1"/>
    <w:rsid w:val="008E6E33"/>
    <w:rsid w:val="009B6E14"/>
    <w:rsid w:val="00A17699"/>
    <w:rsid w:val="00B32425"/>
    <w:rsid w:val="00CD0C55"/>
    <w:rsid w:val="00DB3D6A"/>
    <w:rsid w:val="00F2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149A"/>
  <w15:chartTrackingRefBased/>
  <w15:docId w15:val="{F1B05B75-9559-4784-85A1-84F7CD69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08"/>
    <w:rPr>
      <w:rFonts w:ascii="Segoe UI" w:hAnsi="Segoe UI" w:cs="Segoe UI"/>
      <w:sz w:val="18"/>
      <w:szCs w:val="18"/>
    </w:rPr>
  </w:style>
  <w:style w:type="character" w:styleId="Hyperlink">
    <w:name w:val="Hyperlink"/>
    <w:basedOn w:val="DefaultParagraphFont"/>
    <w:uiPriority w:val="99"/>
    <w:unhideWhenUsed/>
    <w:rsid w:val="006F7CF1"/>
    <w:rPr>
      <w:color w:val="0563C1" w:themeColor="hyperlink"/>
      <w:u w:val="single"/>
    </w:rPr>
  </w:style>
  <w:style w:type="character" w:styleId="Emphasis">
    <w:name w:val="Emphasis"/>
    <w:basedOn w:val="DefaultParagraphFont"/>
    <w:uiPriority w:val="20"/>
    <w:qFormat/>
    <w:rsid w:val="008E6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quote.org/wiki/Kenosis" TargetMode="External"/><Relationship Id="rId3" Type="http://schemas.openxmlformats.org/officeDocument/2006/relationships/webSettings" Target="webSettings.xml"/><Relationship Id="rId7" Type="http://schemas.openxmlformats.org/officeDocument/2006/relationships/hyperlink" Target="https://en.wikiquote.org/wiki/Ti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quote.org/wiki/Spirit" TargetMode="External"/><Relationship Id="rId11" Type="http://schemas.openxmlformats.org/officeDocument/2006/relationships/theme" Target="theme/theme1.xml"/><Relationship Id="rId5" Type="http://schemas.openxmlformats.org/officeDocument/2006/relationships/hyperlink" Target="https://en.wikiquote.org/wiki/History"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n.wikiquote.org/wiki/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Cecil</dc:creator>
  <cp:keywords/>
  <dc:description/>
  <cp:lastModifiedBy>Wes Cecil</cp:lastModifiedBy>
  <cp:revision>2</cp:revision>
  <cp:lastPrinted>2019-10-14T21:08:00Z</cp:lastPrinted>
  <dcterms:created xsi:type="dcterms:W3CDTF">2019-10-14T21:15:00Z</dcterms:created>
  <dcterms:modified xsi:type="dcterms:W3CDTF">2019-10-14T21:15:00Z</dcterms:modified>
</cp:coreProperties>
</file>